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53" w:rsidRPr="00CA3753" w:rsidRDefault="00CA3753" w:rsidP="00CA3753">
      <w:pPr>
        <w:shd w:val="clear" w:color="auto" w:fill="FFFFFF"/>
        <w:spacing w:after="0" w:line="240" w:lineRule="auto"/>
        <w:jc w:val="center"/>
        <w:textAlignment w:val="baseline"/>
        <w:rPr>
          <w:rFonts w:ascii="Times New Roman" w:eastAsia="Times New Roman" w:hAnsi="Times New Roman" w:cs="Times New Roman"/>
          <w:sz w:val="24"/>
          <w:szCs w:val="24"/>
        </w:rPr>
      </w:pPr>
      <w:bookmarkStart w:id="0" w:name="_GoBack"/>
      <w:r w:rsidRPr="004D6293">
        <w:rPr>
          <w:rFonts w:ascii="Times New Roman" w:eastAsia="Times New Roman" w:hAnsi="Times New Roman" w:cs="Times New Roman"/>
          <w:b/>
          <w:bCs/>
          <w:sz w:val="24"/>
          <w:szCs w:val="24"/>
          <w:bdr w:val="none" w:sz="0" w:space="0" w:color="auto" w:frame="1"/>
        </w:rPr>
        <w:t>DANH MỤC MINH CHỨNG</w:t>
      </w:r>
    </w:p>
    <w:p w:rsidR="00CA3753" w:rsidRPr="00CA3753" w:rsidRDefault="00CA3753" w:rsidP="00CA3753">
      <w:pPr>
        <w:shd w:val="clear" w:color="auto" w:fill="FFFFFF"/>
        <w:spacing w:after="0" w:line="240" w:lineRule="auto"/>
        <w:textAlignment w:val="baseline"/>
        <w:rPr>
          <w:rFonts w:ascii="Times New Roman" w:eastAsia="Times New Roman" w:hAnsi="Times New Roman" w:cs="Times New Roman"/>
          <w:sz w:val="24"/>
          <w:szCs w:val="24"/>
        </w:rPr>
      </w:pPr>
      <w:r w:rsidRPr="004D6293">
        <w:rPr>
          <w:rFonts w:ascii="Times New Roman" w:eastAsia="Times New Roman" w:hAnsi="Times New Roman" w:cs="Times New Roman"/>
          <w:b/>
          <w:bCs/>
          <w:sz w:val="24"/>
          <w:szCs w:val="24"/>
          <w:bdr w:val="none" w:sz="0" w:space="0" w:color="auto" w:frame="1"/>
        </w:rPr>
        <w:t>I. Chính sách ưu tiên theo đối tượng</w:t>
      </w:r>
    </w:p>
    <w:p w:rsidR="00CA3753" w:rsidRPr="00CA3753" w:rsidRDefault="00CA3753" w:rsidP="00CA3753">
      <w:pPr>
        <w:shd w:val="clear" w:color="auto" w:fill="FFFFFF"/>
        <w:spacing w:after="300" w:line="240" w:lineRule="auto"/>
        <w:textAlignment w:val="baseline"/>
        <w:rPr>
          <w:rFonts w:ascii="Arial" w:eastAsia="Times New Roman" w:hAnsi="Arial" w:cs="Arial"/>
          <w:spacing w:val="-8"/>
          <w:sz w:val="20"/>
          <w:szCs w:val="20"/>
        </w:rPr>
      </w:pPr>
      <w:r w:rsidRPr="00CA3753">
        <w:rPr>
          <w:rFonts w:ascii="Times New Roman" w:eastAsia="Times New Roman" w:hAnsi="Times New Roman" w:cs="Times New Roman"/>
          <w:spacing w:val="-8"/>
          <w:sz w:val="24"/>
          <w:szCs w:val="24"/>
        </w:rPr>
        <w:t>Thí sinh khi khai thông tin đối tượng ưu tiên cần đính kèm các loại giấy tờ tương ứng ở bảng sau: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81"/>
        <w:gridCol w:w="6124"/>
        <w:gridCol w:w="3060"/>
      </w:tblGrid>
      <w:tr w:rsidR="00CA3753" w:rsidRPr="00CA3753" w:rsidTr="00CA3753">
        <w:trPr>
          <w:tblHeader/>
        </w:trPr>
        <w:tc>
          <w:tcPr>
            <w:tcW w:w="0" w:type="auto"/>
            <w:shd w:val="clear" w:color="auto" w:fill="FFFFFF"/>
            <w:tcMar>
              <w:top w:w="75" w:type="dxa"/>
              <w:left w:w="150" w:type="dxa"/>
              <w:bottom w:w="75" w:type="dxa"/>
              <w:right w:w="150" w:type="dxa"/>
            </w:tcMar>
            <w:vAlign w:val="center"/>
            <w:hideMark/>
          </w:tcPr>
          <w:bookmarkEnd w:id="0"/>
          <w:p w:rsidR="00CA3753" w:rsidRPr="00CA3753" w:rsidRDefault="00CA3753" w:rsidP="00CA3753">
            <w:pPr>
              <w:spacing w:after="0" w:line="240" w:lineRule="auto"/>
              <w:jc w:val="center"/>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b/>
                <w:bCs/>
                <w:sz w:val="24"/>
                <w:szCs w:val="24"/>
                <w:bdr w:val="none" w:sz="0" w:space="0" w:color="auto" w:frame="1"/>
              </w:rPr>
              <w:t>Đối tượng</w:t>
            </w:r>
          </w:p>
        </w:tc>
        <w:tc>
          <w:tcPr>
            <w:tcW w:w="6124" w:type="dxa"/>
            <w:shd w:val="clear" w:color="auto" w:fill="FFFFFF"/>
            <w:tcMar>
              <w:top w:w="75" w:type="dxa"/>
              <w:left w:w="150" w:type="dxa"/>
              <w:bottom w:w="75" w:type="dxa"/>
              <w:right w:w="150" w:type="dxa"/>
            </w:tcMar>
            <w:vAlign w:val="center"/>
            <w:hideMark/>
          </w:tcPr>
          <w:p w:rsidR="00CA3753" w:rsidRPr="00CA3753" w:rsidRDefault="00CA3753" w:rsidP="00CA3753">
            <w:pPr>
              <w:spacing w:after="0" w:line="240" w:lineRule="auto"/>
              <w:jc w:val="center"/>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b/>
                <w:bCs/>
                <w:sz w:val="24"/>
                <w:szCs w:val="24"/>
                <w:bdr w:val="none" w:sz="0" w:space="0" w:color="auto" w:frame="1"/>
              </w:rPr>
              <w:t>Nội dung</w:t>
            </w:r>
          </w:p>
        </w:tc>
        <w:tc>
          <w:tcPr>
            <w:tcW w:w="3060" w:type="dxa"/>
            <w:shd w:val="clear" w:color="auto" w:fill="FFFFFF"/>
            <w:tcMar>
              <w:top w:w="75" w:type="dxa"/>
              <w:left w:w="150" w:type="dxa"/>
              <w:bottom w:w="75" w:type="dxa"/>
              <w:right w:w="150" w:type="dxa"/>
            </w:tcMar>
            <w:vAlign w:val="center"/>
            <w:hideMark/>
          </w:tcPr>
          <w:p w:rsidR="00CA3753" w:rsidRPr="00CA3753" w:rsidRDefault="00CA3753" w:rsidP="00CA3753">
            <w:pPr>
              <w:spacing w:after="0" w:line="240" w:lineRule="auto"/>
              <w:jc w:val="center"/>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b/>
                <w:bCs/>
                <w:sz w:val="24"/>
                <w:szCs w:val="24"/>
                <w:bdr w:val="none" w:sz="0" w:space="0" w:color="auto" w:frame="1"/>
              </w:rPr>
              <w:t>Minh chứng cần đính kèm </w:t>
            </w:r>
            <w:r w:rsidRPr="00CA3753">
              <w:rPr>
                <w:rFonts w:ascii="Times New Roman" w:eastAsia="Times New Roman" w:hAnsi="Times New Roman" w:cs="Times New Roman"/>
                <w:i/>
                <w:iCs/>
                <w:sz w:val="24"/>
                <w:szCs w:val="24"/>
                <w:bdr w:val="none" w:sz="0" w:space="0" w:color="auto" w:frame="1"/>
              </w:rPr>
              <w:t>(Bản sao công chứng hoặc bản gốc)</w:t>
            </w:r>
          </w:p>
        </w:tc>
      </w:tr>
      <w:tr w:rsidR="00CA3753" w:rsidRPr="00CA3753" w:rsidTr="00CA3753">
        <w:tc>
          <w:tcPr>
            <w:tcW w:w="0" w:type="auto"/>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Đối tượng 01</w:t>
            </w:r>
          </w:p>
        </w:tc>
        <w:tc>
          <w:tcPr>
            <w:tcW w:w="6124" w:type="dxa"/>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Công dân Việt Nam là người dân tộc thiểu số có hộ khẩu thường trú (trong thời gian học THPT hoặc trung cấp) trên 18 tháng tại Khu vực 1 quy định tại điểm c khoản 4 Điều này;</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Hộ khẩu, giấy khai sinh</w:t>
            </w:r>
          </w:p>
        </w:tc>
      </w:tr>
      <w:tr w:rsidR="00CA3753" w:rsidRPr="00CA3753" w:rsidTr="00CA3753">
        <w:tc>
          <w:tcPr>
            <w:tcW w:w="0" w:type="auto"/>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Đối tượng 02</w:t>
            </w:r>
          </w:p>
        </w:tc>
        <w:tc>
          <w:tcPr>
            <w:tcW w:w="6124" w:type="dxa"/>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Công nhân trực tiếp sản xuất đã làm việc liên tục 5 năm trở lên, trong đó có ít nhất 2 năm là chiến sĩ thi đua được cấp tỉnh trở lên công nhận và cấp bằng khen;</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Giấy chứng nhận chiến sĩ thi đua</w:t>
            </w:r>
          </w:p>
        </w:tc>
      </w:tr>
      <w:tr w:rsidR="00CA3753" w:rsidRPr="00CA3753" w:rsidTr="00CA3753">
        <w:tc>
          <w:tcPr>
            <w:tcW w:w="0" w:type="auto"/>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Đối tượng 03</w:t>
            </w:r>
          </w:p>
        </w:tc>
        <w:tc>
          <w:tcPr>
            <w:tcW w:w="6124" w:type="dxa"/>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Thương binh, bệnh binh, người có “Giấy chứng nhận người được hưởng chính sách như thương binh”;</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Quân nhân; sĩ quan, hạ sĩ quan, chiến sĩ nghĩa vụ trong Công an nhân dân tại ngũ được cử đi học có thời gian phục vụ từ 12 tháng trở lên tại Khu vực 1;</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Quân nhân; sĩ quan, hạ sĩ quan, chiến sĩ nghĩa vụ trong Công an nhân dân tại ngũ được cử đi học có thời gian phục vụ từ 18 tháng trở lên;</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Quân nhân; sĩ quan, hạ sĩ quan, chiến sĩ nghĩa vụ trong Công an nhân dân đã xuất ngũ, được công nhận hoàn thành nghĩa vụ phục vụ tại ngũ theo quy định;</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Các đối tượng ưu tiên quy định tại điểm i, k, l, m khoản 1 Điều 2 Pháp lệnh số 26/2005/PL-UBTVQH11 ngày 29 tháng 6 năm 2005 được sửa đổi, bổ sung theo Pháp lệnh số 04/2012/UBTVQH13 ngày 16 tháng 7 năm 2012 của Ủy ban thường vụ Quốc hội về việc ưu đãi người có công với cách mạng;</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Thẻ thương binh hoặc Quyết định cử đi học</w:t>
            </w:r>
          </w:p>
        </w:tc>
      </w:tr>
      <w:tr w:rsidR="00CA3753" w:rsidRPr="00CA3753" w:rsidTr="00CA3753">
        <w:tc>
          <w:tcPr>
            <w:tcW w:w="0" w:type="auto"/>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Đối tượng 04</w:t>
            </w:r>
          </w:p>
        </w:tc>
        <w:tc>
          <w:tcPr>
            <w:tcW w:w="6124" w:type="dxa"/>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liệt sĩ;</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thương binh bị suy giảm khả năng lao động từ 81% trở lên;</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bệnh binh bị suy giảm khả năng lao động từ 81% trở lên;</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của người hoạt động kháng chiến bị nhiễm chất độc hoá học có tỷ lệ suy giảm khả năng lao động 81% trở lên;</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của người được cấp “Giấy chứng nhận người hưởng chính sách như thương binh” mà người được cấp “Giấy chứng nhận người hưởng chính sách như thương binh” bị suy giảm khả năng lao động 81% trở lên;</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lastRenderedPageBreak/>
              <w:t>+ Con của Anh hùng lực lượng vũ trang, con của Anh hùng lao động;</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đẻ của người hoạt động kháng chiến bị dị dạng, dị tật do hậu quả của chất độc hóa học đang hưởng trợ cấp hằng tháng;</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của người có công với cách mạng quy định tại điểm a, b, d khoản 1 Điều 2 Pháp lệnh số 26/2005/PL-UBTVQH11 ngày 29 tháng 6 năm 2005 được sửa đổi, bổ sung theo Pháp lệnh số 04/2012/UBTVQH13 ngày 16 tháng 7 năm 2012 về việc ưu đãi người có công với cách mạng;</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lastRenderedPageBreak/>
              <w:t>Giấy chứng nhận, giấy khai sinh</w:t>
            </w:r>
          </w:p>
        </w:tc>
      </w:tr>
      <w:tr w:rsidR="00CA3753" w:rsidRPr="00CA3753" w:rsidTr="00CA3753">
        <w:tc>
          <w:tcPr>
            <w:tcW w:w="0" w:type="auto"/>
            <w:vMerge w:val="restart"/>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lastRenderedPageBreak/>
              <w:t>Đối tượng 05</w:t>
            </w:r>
          </w:p>
        </w:tc>
        <w:tc>
          <w:tcPr>
            <w:tcW w:w="6124" w:type="dxa"/>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Thanh niên xung phong tập trung được cử đi học;</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Quân nhân; sĩ quan, hạ sĩ quan, chiến sĩ nghĩa vụ trong Công an nhân dân tại ngũ được cử đi học có thời gian phục vụ dưới 12 tháng ở Khu vực 1 và dưới 18 tháng ở khu vực khác;</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Quyết định cử đi học</w:t>
            </w:r>
          </w:p>
        </w:tc>
      </w:tr>
      <w:tr w:rsidR="00CA3753" w:rsidRPr="00CA3753" w:rsidTr="00CA3753">
        <w:tc>
          <w:tcPr>
            <w:tcW w:w="0" w:type="auto"/>
            <w:vMerge/>
            <w:shd w:val="clear" w:color="auto" w:fill="FFFFFF"/>
            <w:tcMar>
              <w:top w:w="75" w:type="dxa"/>
              <w:left w:w="75" w:type="dxa"/>
              <w:bottom w:w="75" w:type="dxa"/>
              <w:right w:w="75" w:type="dxa"/>
            </w:tcMar>
            <w:vAlign w:val="bottom"/>
            <w:hideMark/>
          </w:tcPr>
          <w:p w:rsidR="00CA3753" w:rsidRPr="00CA3753" w:rsidRDefault="00CA3753" w:rsidP="00CA3753">
            <w:pPr>
              <w:spacing w:after="0" w:line="240" w:lineRule="auto"/>
              <w:rPr>
                <w:rFonts w:ascii="Times New Roman" w:eastAsia="Times New Roman" w:hAnsi="Times New Roman" w:cs="Times New Roman"/>
                <w:sz w:val="24"/>
                <w:szCs w:val="24"/>
              </w:rPr>
            </w:pPr>
          </w:p>
        </w:tc>
        <w:tc>
          <w:tcPr>
            <w:tcW w:w="6124" w:type="dxa"/>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Chỉ huy trưởng, Chỉ huy phó ban chỉ huy quân sự xã, phường, thị trấn; Thôn đội trưởng, Trung đội trưởng Dân quân tự vệ nòng cốt, Dân quân tự vệ đã hoàn thành nghĩa vụ tham gia Dân quân tự vệ nòng cốt từ 12 tháng trở lên, dự thi vào ngành Quân sự cơ sở. Thời hạn tối đa được hưởng ưu tiên là 18 tháng kể từ ngày ký quyết định xuất ngũ đến ngày dự thi hay ĐKXT;</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Quyết định hoàn thành nghĩa vụ</w:t>
            </w:r>
          </w:p>
        </w:tc>
      </w:tr>
      <w:tr w:rsidR="00CA3753" w:rsidRPr="00CA3753" w:rsidTr="00CA3753">
        <w:tc>
          <w:tcPr>
            <w:tcW w:w="0" w:type="auto"/>
            <w:vMerge w:val="restart"/>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Đối tượng 06</w:t>
            </w:r>
          </w:p>
        </w:tc>
        <w:tc>
          <w:tcPr>
            <w:tcW w:w="6124" w:type="dxa"/>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Công dân Việt Nam là người dân tộc thiểu số có hộ khẩu thường trú ở ngoài khu vực đã quy định thuộc đối tượng 01;</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Giấy khai sinh</w:t>
            </w:r>
          </w:p>
        </w:tc>
      </w:tr>
      <w:tr w:rsidR="00CA3753" w:rsidRPr="00CA3753" w:rsidTr="00CA3753">
        <w:tc>
          <w:tcPr>
            <w:tcW w:w="0" w:type="auto"/>
            <w:vMerge/>
            <w:shd w:val="clear" w:color="auto" w:fill="FFFFFF"/>
            <w:tcMar>
              <w:top w:w="75" w:type="dxa"/>
              <w:left w:w="75" w:type="dxa"/>
              <w:bottom w:w="75" w:type="dxa"/>
              <w:right w:w="75" w:type="dxa"/>
            </w:tcMar>
            <w:vAlign w:val="bottom"/>
            <w:hideMark/>
          </w:tcPr>
          <w:p w:rsidR="00CA3753" w:rsidRPr="00CA3753" w:rsidRDefault="00CA3753" w:rsidP="00CA3753">
            <w:pPr>
              <w:spacing w:after="0" w:line="240" w:lineRule="auto"/>
              <w:rPr>
                <w:rFonts w:ascii="Times New Roman" w:eastAsia="Times New Roman" w:hAnsi="Times New Roman" w:cs="Times New Roman"/>
                <w:sz w:val="24"/>
                <w:szCs w:val="24"/>
              </w:rPr>
            </w:pPr>
          </w:p>
        </w:tc>
        <w:tc>
          <w:tcPr>
            <w:tcW w:w="6124" w:type="dxa"/>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thương binh, con bệnh binh, con của người được hưởng chính sách như thương binh bị suy giảm khả năng lao động dưới 81%;</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của người hoạt động kháng chiến bị nhiễm chất độc hóa học có tỷ lệ suy giảm khả năng lao động dưới 81%;</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của người hoạt động cách mạng, hoạt động kháng chiến bị địch bắt tù, đày;</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của người hoạt động kháng chiến giải phóng dân tộc, bảo vệ Tổ quốc và làm nghĩa vụ quốc tế có giấy chứng nhận được hưởng chế độ ưu tiên theo quy định tại Nghị định số 31/2013/NĐ-CP ngày 09 tháng 4 năm 2013 của Chính phủ quy định chi tiết, hướng dẫn thi hành một số điều của Pháp lệnh Ưu đãi người có công với cách mạng;</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Con của người có công giúp đỡ cách mạng;</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Giấy chứng nhận, giấy khai sinh</w:t>
            </w:r>
          </w:p>
        </w:tc>
      </w:tr>
      <w:tr w:rsidR="00CA3753" w:rsidRPr="00CA3753" w:rsidTr="00CA3753">
        <w:tc>
          <w:tcPr>
            <w:tcW w:w="0" w:type="auto"/>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lastRenderedPageBreak/>
              <w:t>Đối tượng 07</w:t>
            </w:r>
          </w:p>
        </w:tc>
        <w:tc>
          <w:tcPr>
            <w:tcW w:w="6124" w:type="dxa"/>
            <w:shd w:val="clear" w:color="auto" w:fill="FFFFFF"/>
            <w:tcMar>
              <w:top w:w="75" w:type="dxa"/>
              <w:left w:w="150" w:type="dxa"/>
              <w:bottom w:w="75" w:type="dxa"/>
              <w:right w:w="150" w:type="dxa"/>
            </w:tcMar>
            <w:vAlign w:val="bottom"/>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Người khuyết tật nặng có giấy xác nhận khuyết tật của cơ quan có thẩm quyền cấp theo quy định tại Thông tư liên tịch số 37/2012/TTLT- BLĐTBXH-BYT-BTC-BGDĐT ngày 28 tháng 12 năm 2012 của Bộ Lao động - Thương binh và Xã hội, Bộ Y tế, Bộ Tài chính và Bộ GDĐT quy định về việc xác định mức độ khuyết tật do Hội đồng xác định mức độ khuyết tật thực hiện;</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Người lao động ưu tú thuộc tất cả các thành phần kinh tế được từ cấp tỉnh, Bộ trở lên công nhận danh hiệu thợ giỏi, nghệ nhân, được cấp bằng hoặc huy hiệu Lao động sáng tạo của Tổng Liên đoàn Lao động Việt Nam hoặc Trung ương Đoàn TNCS Hồ Chí Minh;</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Giáo viên đã giảng dạy đủ 3 năm trở lên thi vào các ngành sư phạm;</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Y tá, dược tá, hộ lý, y sĩ, điều dưỡng viên, kỹ thuật viên, người có bằng trung cấp dược đã công tác đủ 3 năm trở lên thi vào nhóm ngành sức khỏe;</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Giấy chứng nhận</w:t>
            </w:r>
          </w:p>
        </w:tc>
      </w:tr>
    </w:tbl>
    <w:p w:rsidR="00CA3753" w:rsidRPr="00CA3753" w:rsidRDefault="00CA3753" w:rsidP="00CA3753">
      <w:pPr>
        <w:shd w:val="clear" w:color="auto" w:fill="FFFFFF"/>
        <w:spacing w:after="300" w:line="240" w:lineRule="auto"/>
        <w:textAlignment w:val="baseline"/>
        <w:rPr>
          <w:rFonts w:ascii="Arial" w:eastAsia="Times New Roman" w:hAnsi="Arial" w:cs="Arial"/>
          <w:color w:val="606060"/>
          <w:sz w:val="20"/>
          <w:szCs w:val="20"/>
        </w:rPr>
      </w:pPr>
      <w:r w:rsidRPr="00CA3753">
        <w:rPr>
          <w:rFonts w:ascii="Arial" w:eastAsia="Times New Roman" w:hAnsi="Arial" w:cs="Arial"/>
          <w:color w:val="606060"/>
          <w:sz w:val="20"/>
          <w:szCs w:val="20"/>
        </w:rPr>
        <w:t> </w:t>
      </w:r>
    </w:p>
    <w:p w:rsidR="00CA3753" w:rsidRPr="00CA3753" w:rsidRDefault="00CA3753" w:rsidP="00CA3753">
      <w:pPr>
        <w:shd w:val="clear" w:color="auto" w:fill="FFFFFF"/>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b/>
          <w:bCs/>
          <w:sz w:val="24"/>
          <w:szCs w:val="24"/>
          <w:bdr w:val="none" w:sz="0" w:space="0" w:color="auto" w:frame="1"/>
        </w:rPr>
        <w:t>II. Chính sách ưu tiên theo khu vực</w:t>
      </w:r>
    </w:p>
    <w:p w:rsidR="00CA3753" w:rsidRPr="00CA3753" w:rsidRDefault="00CA3753" w:rsidP="00CA3753">
      <w:pPr>
        <w:shd w:val="clear" w:color="auto" w:fill="FFFFFF"/>
        <w:spacing w:after="30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Thí sinh khi khai thông tin khu vực 1 nếu thuộc các đối tượng sau cần đính kèm các loại giấy tờ tương ứng ở bảng:</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07"/>
        <w:gridCol w:w="3060"/>
      </w:tblGrid>
      <w:tr w:rsidR="00CA3753" w:rsidRPr="00CA3753" w:rsidTr="00CA3753">
        <w:trPr>
          <w:trHeight w:val="288"/>
        </w:trPr>
        <w:tc>
          <w:tcPr>
            <w:tcW w:w="7107" w:type="dxa"/>
            <w:shd w:val="clear" w:color="auto" w:fill="FFFFFF"/>
            <w:tcMar>
              <w:top w:w="75" w:type="dxa"/>
              <w:left w:w="150" w:type="dxa"/>
              <w:bottom w:w="75" w:type="dxa"/>
              <w:right w:w="150" w:type="dxa"/>
            </w:tcMar>
            <w:vAlign w:val="center"/>
            <w:hideMark/>
          </w:tcPr>
          <w:p w:rsidR="00CA3753" w:rsidRPr="00CA3753" w:rsidRDefault="00CA3753" w:rsidP="00CA3753">
            <w:pPr>
              <w:spacing w:after="0" w:line="240" w:lineRule="auto"/>
              <w:jc w:val="center"/>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b/>
                <w:bCs/>
                <w:sz w:val="24"/>
                <w:szCs w:val="24"/>
                <w:bdr w:val="none" w:sz="0" w:space="0" w:color="auto" w:frame="1"/>
              </w:rPr>
              <w:t>Nội dung</w:t>
            </w:r>
          </w:p>
        </w:tc>
        <w:tc>
          <w:tcPr>
            <w:tcW w:w="3060" w:type="dxa"/>
            <w:shd w:val="clear" w:color="auto" w:fill="FFFFFF"/>
            <w:tcMar>
              <w:top w:w="75" w:type="dxa"/>
              <w:left w:w="150" w:type="dxa"/>
              <w:bottom w:w="75" w:type="dxa"/>
              <w:right w:w="150" w:type="dxa"/>
            </w:tcMar>
            <w:vAlign w:val="center"/>
            <w:hideMark/>
          </w:tcPr>
          <w:p w:rsidR="00CA3753" w:rsidRPr="00CA3753" w:rsidRDefault="00CA3753" w:rsidP="00CA3753">
            <w:pPr>
              <w:spacing w:after="0" w:line="240" w:lineRule="auto"/>
              <w:jc w:val="center"/>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b/>
                <w:bCs/>
                <w:sz w:val="24"/>
                <w:szCs w:val="24"/>
                <w:bdr w:val="none" w:sz="0" w:space="0" w:color="auto" w:frame="1"/>
              </w:rPr>
              <w:t>Minh chứng cần đính kèm </w:t>
            </w:r>
            <w:r w:rsidRPr="00CA3753">
              <w:rPr>
                <w:rFonts w:ascii="Times New Roman" w:eastAsia="Times New Roman" w:hAnsi="Times New Roman" w:cs="Times New Roman"/>
                <w:i/>
                <w:iCs/>
                <w:sz w:val="24"/>
                <w:szCs w:val="24"/>
                <w:bdr w:val="none" w:sz="0" w:space="0" w:color="auto" w:frame="1"/>
              </w:rPr>
              <w:t>(Bản sao công chứng hoặc bản gốc)</w:t>
            </w:r>
          </w:p>
        </w:tc>
      </w:tr>
      <w:tr w:rsidR="00CA3753" w:rsidRPr="00CA3753" w:rsidTr="00CA3753">
        <w:trPr>
          <w:trHeight w:val="288"/>
        </w:trPr>
        <w:tc>
          <w:tcPr>
            <w:tcW w:w="7107" w:type="dxa"/>
            <w:shd w:val="clear" w:color="auto" w:fill="FFFFFF"/>
            <w:tcMar>
              <w:top w:w="75" w:type="dxa"/>
              <w:left w:w="150" w:type="dxa"/>
              <w:bottom w:w="75" w:type="dxa"/>
              <w:right w:w="150" w:type="dxa"/>
            </w:tcMar>
            <w:vAlign w:val="cente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Thí sinh học liên tục và tốt nghiệp trung học tại khu vực nào thì hưởng ưu tiên theo khu vực đó. Nếu trong 3 năm học THPT (hoặc trong thời gian học trung cấp) có chuyển trường thì thời gian học ở khu vực nào lâu hơn được hưởng ưu tiên theo khu vực đó. Nếu mỗi năm học một trường thuộc các khu vực có mức ưu tiên khác nhau hoặc nửa thời gian học ở trường này, nửa thời gian học ở trường kia thì tốt nghiệp ở khu vực nào, hưởng ưu tiên theo khu vực đó. Quy định này áp dụng cho tất cả thí sinh, kể cả thí sinh đã tốt nghiệp từ trước năm tuyển sinh;</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Theo học bạ THPT (không cần đính kèm)</w:t>
            </w:r>
          </w:p>
        </w:tc>
      </w:tr>
      <w:tr w:rsidR="00CA3753" w:rsidRPr="00CA3753" w:rsidTr="00CA3753">
        <w:trPr>
          <w:trHeight w:val="288"/>
        </w:trPr>
        <w:tc>
          <w:tcPr>
            <w:tcW w:w="7107" w:type="dxa"/>
            <w:shd w:val="clear" w:color="auto" w:fill="FFFFFF"/>
            <w:tcMar>
              <w:top w:w="75" w:type="dxa"/>
              <w:left w:w="150" w:type="dxa"/>
              <w:bottom w:w="75" w:type="dxa"/>
              <w:right w:w="150" w:type="dxa"/>
            </w:tcMar>
            <w:vAlign w:val="cente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Các trường hợp sau đây được hưởng ưu tiên khu vực theo hộ khẩu thường trú:</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Học sinh các trường phổ thông dân tộc nội trú;</w:t>
            </w:r>
          </w:p>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t xml:space="preserve">- Học sinh có hộ khẩu thường trú (trong thời gian học THPT hoặc trung cấp) trên 18 tháng tại các xã khu vực III và các xã có thôn đặc </w:t>
            </w:r>
            <w:r w:rsidRPr="00CA3753">
              <w:rPr>
                <w:rFonts w:ascii="Times New Roman" w:eastAsia="Times New Roman" w:hAnsi="Times New Roman" w:cs="Times New Roman"/>
                <w:sz w:val="24"/>
                <w:szCs w:val="24"/>
              </w:rPr>
              <w:lastRenderedPageBreak/>
              <w:t>biệt khó khăn thuộc vùng dân tộc và miền núi theo quy định của Bộ trưởng, Chủ nhiệm Ủy ban Dân tộc và Thủ tướng Chính phủ; các xã đặc biệt khó khăn vùng bãi ngang ven biển và hải đảo; các xã đặc biệt khó khăn, xã biên giới, xã an toàn khu vào diện đầu tư của Chương trình 135; các thôn, xã đặc biệt khó khăn tại các địa bàn theo quy định của Thủ tướng Chính phủ nếu học THPT (hoặc trung cấp) tại địa điểm thuộc huyện, thị xã, thành phố trực thuộc tỉnh có ít nhất một trong các xã thuộc diện đặc biệt khó khăn;</w:t>
            </w:r>
          </w:p>
        </w:tc>
        <w:tc>
          <w:tcPr>
            <w:tcW w:w="3060" w:type="dxa"/>
            <w:shd w:val="clear" w:color="auto" w:fill="FFFFFF"/>
            <w:tcMar>
              <w:top w:w="75" w:type="dxa"/>
              <w:left w:w="150" w:type="dxa"/>
              <w:bottom w:w="75" w:type="dxa"/>
              <w:right w:w="150" w:type="dxa"/>
            </w:tcMa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lastRenderedPageBreak/>
              <w:t>Hộ khẩu</w:t>
            </w:r>
          </w:p>
        </w:tc>
      </w:tr>
      <w:tr w:rsidR="00CA3753" w:rsidRPr="00CA3753" w:rsidTr="00CA3753">
        <w:trPr>
          <w:trHeight w:val="288"/>
        </w:trPr>
        <w:tc>
          <w:tcPr>
            <w:tcW w:w="7107" w:type="dxa"/>
            <w:shd w:val="clear" w:color="auto" w:fill="FFFFFF"/>
            <w:tcMar>
              <w:top w:w="75" w:type="dxa"/>
              <w:left w:w="150" w:type="dxa"/>
              <w:bottom w:w="75" w:type="dxa"/>
              <w:right w:w="150" w:type="dxa"/>
            </w:tcMar>
            <w:vAlign w:val="center"/>
            <w:hideMark/>
          </w:tcPr>
          <w:p w:rsidR="00CA3753" w:rsidRPr="00CA3753" w:rsidRDefault="00CA3753" w:rsidP="00CA3753">
            <w:pPr>
              <w:spacing w:after="0" w:line="240" w:lineRule="auto"/>
              <w:textAlignment w:val="baseline"/>
              <w:rPr>
                <w:rFonts w:ascii="Times New Roman" w:eastAsia="Times New Roman" w:hAnsi="Times New Roman" w:cs="Times New Roman"/>
                <w:sz w:val="24"/>
                <w:szCs w:val="24"/>
              </w:rPr>
            </w:pPr>
            <w:r w:rsidRPr="00CA3753">
              <w:rPr>
                <w:rFonts w:ascii="Times New Roman" w:eastAsia="Times New Roman" w:hAnsi="Times New Roman" w:cs="Times New Roman"/>
                <w:sz w:val="24"/>
                <w:szCs w:val="24"/>
              </w:rPr>
              <w:lastRenderedPageBreak/>
              <w:t>- Quân nhân; sĩ quan, hạ sĩ quan, chiến sĩ nghĩa vụ trong Công an nhân dân được cử đi dự thi, nếu đóng quân từ 18 tháng trở lên tại khu vực nào thì hưởng ưu tiên theo khu vực đó hoặc theo hộ khẩu thường trú trước khi nhập ngũ, tùy theo khu vực nào có mức ưu tiên cao hơn; nếu đóng quân từ 18 tháng trở lên tại các khu vực có mức ưu tiên khác nhau thì hưởng ưu tiên theo khu vực có thời gian đóng quân dài hơn; nếu dưới 18 tháng thì hưởng ưu tiên khu vực theo hộ khẩu thường trú trước khi nhập ngũ;</w:t>
            </w:r>
          </w:p>
        </w:tc>
        <w:tc>
          <w:tcPr>
            <w:tcW w:w="3060" w:type="dxa"/>
            <w:shd w:val="clear" w:color="auto" w:fill="FFFFFF"/>
            <w:tcMar>
              <w:top w:w="75" w:type="dxa"/>
              <w:left w:w="150" w:type="dxa"/>
              <w:bottom w:w="75" w:type="dxa"/>
              <w:right w:w="150" w:type="dxa"/>
            </w:tcMar>
            <w:vAlign w:val="center"/>
            <w:hideMark/>
          </w:tcPr>
          <w:p w:rsidR="00CA3753" w:rsidRPr="00CA3753" w:rsidRDefault="00CA3753" w:rsidP="00CA3753">
            <w:pPr>
              <w:spacing w:after="0" w:line="240" w:lineRule="auto"/>
              <w:textAlignment w:val="baseline"/>
              <w:rPr>
                <w:rFonts w:ascii="Arial" w:eastAsia="Times New Roman" w:hAnsi="Arial" w:cs="Arial"/>
                <w:color w:val="606060"/>
                <w:sz w:val="20"/>
                <w:szCs w:val="20"/>
              </w:rPr>
            </w:pPr>
            <w:r w:rsidRPr="00CA3753">
              <w:rPr>
                <w:rFonts w:ascii="Times New Roman" w:eastAsia="Times New Roman" w:hAnsi="Times New Roman" w:cs="Times New Roman"/>
                <w:sz w:val="24"/>
                <w:szCs w:val="24"/>
              </w:rPr>
              <w:t>Quyết định cử đi học hoặc hộ khẩu</w:t>
            </w:r>
          </w:p>
        </w:tc>
      </w:tr>
    </w:tbl>
    <w:p w:rsidR="008F6D80" w:rsidRDefault="004D6293"/>
    <w:sectPr w:rsidR="008F6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53"/>
    <w:rsid w:val="002E00A5"/>
    <w:rsid w:val="004D6293"/>
    <w:rsid w:val="005E465B"/>
    <w:rsid w:val="00CA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74117-BA4E-4E06-B5B3-98399603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753"/>
    <w:rPr>
      <w:b/>
      <w:bCs/>
    </w:rPr>
  </w:style>
  <w:style w:type="character" w:styleId="Emphasis">
    <w:name w:val="Emphasis"/>
    <w:basedOn w:val="DefaultParagraphFont"/>
    <w:uiPriority w:val="20"/>
    <w:qFormat/>
    <w:rsid w:val="00CA3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Ngoc</cp:lastModifiedBy>
  <cp:revision>1</cp:revision>
  <dcterms:created xsi:type="dcterms:W3CDTF">2022-01-19T01:35:00Z</dcterms:created>
  <dcterms:modified xsi:type="dcterms:W3CDTF">2022-01-19T01:48:00Z</dcterms:modified>
</cp:coreProperties>
</file>